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3E5" w:rsidRPr="00CF03E5" w:rsidRDefault="00CF03E5" w:rsidP="00CF03E5">
      <w:pPr>
        <w:pStyle w:val="Styltabeli2A"/>
        <w:spacing w:line="276" w:lineRule="auto"/>
        <w:rPr>
          <w:b/>
          <w:bCs/>
        </w:rPr>
      </w:pPr>
      <w:r w:rsidRPr="00CF03E5">
        <w:rPr>
          <w:b/>
          <w:bCs/>
        </w:rPr>
        <w:t>ZP/PN/15/2019</w:t>
      </w:r>
    </w:p>
    <w:p w:rsidR="00B077B5" w:rsidRDefault="00CF03E5">
      <w:pPr>
        <w:pStyle w:val="Styltabeli2A"/>
        <w:spacing w:line="276" w:lineRule="auto"/>
        <w:jc w:val="right"/>
      </w:pPr>
      <w:r>
        <w:t>Załącznik nr 2 do SIWZ</w:t>
      </w:r>
    </w:p>
    <w:p w:rsidR="00B077B5" w:rsidRDefault="00B077B5">
      <w:pPr>
        <w:pStyle w:val="Styltabeli2A"/>
        <w:spacing w:line="276" w:lineRule="auto"/>
        <w:jc w:val="center"/>
        <w:rPr>
          <w:b/>
          <w:bCs/>
        </w:rPr>
      </w:pPr>
    </w:p>
    <w:p w:rsidR="00B077B5" w:rsidRDefault="00CF03E5">
      <w:pPr>
        <w:pStyle w:val="Styltabeli2A"/>
        <w:spacing w:line="276" w:lineRule="auto"/>
        <w:jc w:val="center"/>
        <w:rPr>
          <w:b/>
          <w:bCs/>
        </w:rPr>
      </w:pPr>
      <w:r>
        <w:rPr>
          <w:b/>
          <w:bCs/>
        </w:rPr>
        <w:t>OPIS PRZEDMIOTU ZAMÓ</w:t>
      </w:r>
      <w:r>
        <w:rPr>
          <w:b/>
          <w:bCs/>
          <w:lang w:val="en-US"/>
        </w:rPr>
        <w:t>WIENIA</w:t>
      </w:r>
    </w:p>
    <w:p w:rsidR="00B077B5" w:rsidRDefault="00B077B5">
      <w:pPr>
        <w:pStyle w:val="Styltabeli2A"/>
        <w:spacing w:line="276" w:lineRule="auto"/>
        <w:jc w:val="center"/>
        <w:rPr>
          <w:b/>
          <w:bCs/>
        </w:rPr>
      </w:pPr>
    </w:p>
    <w:p w:rsidR="00B077B5" w:rsidRDefault="00CF03E5">
      <w:pPr>
        <w:pStyle w:val="Styltabeli2A"/>
        <w:spacing w:line="276" w:lineRule="auto"/>
        <w:jc w:val="both"/>
        <w:rPr>
          <w:b/>
          <w:bCs/>
        </w:rPr>
      </w:pPr>
      <w:r>
        <w:rPr>
          <w:b/>
          <w:bCs/>
        </w:rPr>
        <w:t>Dostawa systemowych konstrukcji scenicznych - podesty oraz konstrukcje sceniczne modułowe umożliwiające łatwą i szybką zabudowę zaplecza</w:t>
      </w:r>
    </w:p>
    <w:p w:rsidR="00B077B5" w:rsidRDefault="00CF03E5">
      <w:pPr>
        <w:pStyle w:val="Styltabeli2A"/>
        <w:spacing w:line="276" w:lineRule="auto"/>
        <w:rPr>
          <w:b/>
          <w:bCs/>
        </w:rPr>
      </w:pPr>
      <w:r>
        <w:rPr>
          <w:b/>
          <w:bCs/>
        </w:rPr>
        <w:tab/>
      </w:r>
    </w:p>
    <w:p w:rsidR="00B077B5" w:rsidRDefault="00B077B5">
      <w:pPr>
        <w:pStyle w:val="Styltabeli2A"/>
        <w:spacing w:line="276" w:lineRule="auto"/>
        <w:jc w:val="both"/>
        <w:rPr>
          <w:b/>
          <w:bCs/>
        </w:rPr>
      </w:pPr>
    </w:p>
    <w:p w:rsidR="00B077B5" w:rsidRDefault="00CF03E5">
      <w:pPr>
        <w:pStyle w:val="Styltabeli2A"/>
        <w:spacing w:line="276" w:lineRule="auto"/>
        <w:jc w:val="both"/>
        <w:rPr>
          <w:b/>
          <w:bCs/>
        </w:rPr>
      </w:pPr>
      <w:r>
        <w:t>Przedmiotem zam</w:t>
      </w:r>
      <w:r>
        <w:rPr>
          <w:lang w:val="es-ES_tradnl"/>
        </w:rPr>
        <w:t>ó</w:t>
      </w:r>
      <w:r>
        <w:t xml:space="preserve">wienia jest dostawa do siedziby </w:t>
      </w:r>
      <w:r>
        <w:t>Zamawiającego kompletnego systemu konstrukcji scenicznych, w skład kt</w:t>
      </w:r>
      <w:r>
        <w:rPr>
          <w:lang w:val="es-ES_tradnl"/>
        </w:rPr>
        <w:t>ó</w:t>
      </w:r>
      <w:r>
        <w:t>rego wchodzą podesty oraz modułowe konstrukcje sceniczne zgodnie z poniższymi wymaganiami Zamawiającego zawartymi w Opisie przedmiotu zam</w:t>
      </w:r>
      <w:r>
        <w:rPr>
          <w:lang w:val="es-ES_tradnl"/>
        </w:rPr>
        <w:t>ó</w:t>
      </w:r>
      <w:r>
        <w:t>wienia oraz wzorem umowy stanowiącym Załącznik n</w:t>
      </w:r>
      <w:r>
        <w:t>r 5 do SIWZ.</w:t>
      </w:r>
    </w:p>
    <w:p w:rsidR="00B077B5" w:rsidRDefault="00B077B5">
      <w:pPr>
        <w:pStyle w:val="Styltabeli2A"/>
        <w:spacing w:line="276" w:lineRule="auto"/>
        <w:jc w:val="both"/>
        <w:rPr>
          <w:b/>
          <w:bCs/>
        </w:rPr>
      </w:pPr>
    </w:p>
    <w:p w:rsidR="00B077B5" w:rsidRDefault="00CF03E5">
      <w:pPr>
        <w:pStyle w:val="Styltabeli2A"/>
        <w:spacing w:line="276" w:lineRule="auto"/>
        <w:jc w:val="both"/>
        <w:rPr>
          <w:b/>
          <w:bCs/>
        </w:rPr>
      </w:pPr>
      <w:r>
        <w:t>Wykonawca w ramach realizacji przedmiotu zam</w:t>
      </w:r>
      <w:r>
        <w:rPr>
          <w:lang w:val="es-ES_tradnl"/>
        </w:rPr>
        <w:t>ó</w:t>
      </w:r>
      <w:r>
        <w:t xml:space="preserve">wienia ma dostarczyć kompletne rozwiązanie konstrukcyjne potwierdzające jakość, wytrzymałość oferowanych </w:t>
      </w:r>
      <w:r>
        <w:rPr>
          <w:lang w:val="fr-FR"/>
        </w:rPr>
        <w:t>element</w:t>
      </w:r>
      <w:r>
        <w:rPr>
          <w:lang w:val="es-ES_tradnl"/>
        </w:rPr>
        <w:t>ó</w:t>
      </w:r>
      <w:r>
        <w:t>w wraz z dokumentacją techniczną oraz certyfikatami, atestami potwierdzającymi zgodn</w:t>
      </w:r>
      <w:r>
        <w:t>ość z europejskimi normami bezpieczeństwa oraz potwierdzającymi stateczność, nośność konstrukcji.</w:t>
      </w:r>
    </w:p>
    <w:p w:rsidR="00B077B5" w:rsidRDefault="00B077B5">
      <w:pPr>
        <w:pStyle w:val="Styltabeli2A"/>
        <w:spacing w:line="276" w:lineRule="auto"/>
        <w:jc w:val="center"/>
        <w:rPr>
          <w:b/>
          <w:bCs/>
        </w:rPr>
      </w:pPr>
    </w:p>
    <w:tbl>
      <w:tblPr>
        <w:tblStyle w:val="TableNormal"/>
        <w:tblW w:w="92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1927"/>
        <w:gridCol w:w="1926"/>
        <w:gridCol w:w="3006"/>
      </w:tblGrid>
      <w:tr w:rsidR="00B077B5" w:rsidTr="00CF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  <w:tblHeader/>
          <w:jc w:val="center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5" w:rsidRPr="00CF03E5" w:rsidRDefault="00CF03E5" w:rsidP="00CF03E5">
            <w:pPr>
              <w:spacing w:line="276" w:lineRule="auto"/>
              <w:jc w:val="center"/>
              <w:rPr>
                <w:b/>
                <w:bCs/>
              </w:rPr>
            </w:pPr>
            <w:r w:rsidRPr="00CF03E5">
              <w:rPr>
                <w:rFonts w:ascii="Arial" w:hAnsi="Arial"/>
                <w:b/>
                <w:bCs/>
                <w:sz w:val="20"/>
                <w:szCs w:val="20"/>
              </w:rPr>
              <w:t>Nazwa elementu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5" w:rsidRPr="00CF03E5" w:rsidRDefault="00B077B5" w:rsidP="00CF03E5">
            <w:pPr>
              <w:jc w:val="center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3E5" w:rsidRDefault="00CF03E5" w:rsidP="00CF03E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03E5">
              <w:rPr>
                <w:rFonts w:ascii="Arial" w:hAnsi="Arial"/>
                <w:b/>
                <w:bCs/>
                <w:sz w:val="20"/>
                <w:szCs w:val="20"/>
              </w:rPr>
              <w:t xml:space="preserve">Liczba sztuk/ </w:t>
            </w:r>
          </w:p>
          <w:p w:rsidR="00B077B5" w:rsidRPr="00CF03E5" w:rsidRDefault="00CF03E5" w:rsidP="00CF03E5">
            <w:pPr>
              <w:spacing w:line="276" w:lineRule="auto"/>
              <w:jc w:val="center"/>
              <w:rPr>
                <w:b/>
                <w:bCs/>
              </w:rPr>
            </w:pPr>
            <w:r w:rsidRPr="00CF03E5">
              <w:rPr>
                <w:rFonts w:ascii="Arial" w:hAnsi="Arial"/>
                <w:b/>
                <w:bCs/>
                <w:sz w:val="20"/>
                <w:szCs w:val="20"/>
              </w:rPr>
              <w:t>zestaw</w:t>
            </w:r>
            <w:r w:rsidRPr="00CF03E5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 w:rsidRPr="00CF03E5">
              <w:rPr>
                <w:rFonts w:ascii="Arial" w:hAnsi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03E5" w:rsidRDefault="00CF03E5" w:rsidP="00CF03E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F03E5">
              <w:rPr>
                <w:rFonts w:ascii="Arial" w:hAnsi="Arial"/>
                <w:b/>
                <w:bCs/>
                <w:sz w:val="20"/>
                <w:szCs w:val="20"/>
              </w:rPr>
              <w:t xml:space="preserve">Minimalne wymagania </w:t>
            </w:r>
          </w:p>
          <w:p w:rsidR="00B077B5" w:rsidRPr="00CF03E5" w:rsidRDefault="00CF03E5" w:rsidP="00CF03E5">
            <w:pPr>
              <w:spacing w:line="276" w:lineRule="auto"/>
              <w:jc w:val="center"/>
              <w:rPr>
                <w:b/>
                <w:bCs/>
              </w:rPr>
            </w:pPr>
            <w:r w:rsidRPr="00CF03E5">
              <w:rPr>
                <w:rFonts w:ascii="Arial" w:hAnsi="Arial"/>
                <w:b/>
                <w:bCs/>
                <w:sz w:val="20"/>
                <w:szCs w:val="20"/>
              </w:rPr>
              <w:t>techniczne</w:t>
            </w:r>
          </w:p>
        </w:tc>
      </w:tr>
      <w:tr w:rsidR="00B077B5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8"/>
          <w:jc w:val="center"/>
        </w:trPr>
        <w:tc>
          <w:tcPr>
            <w:tcW w:w="23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7B5" w:rsidRDefault="00CF03E5">
            <w:pPr>
              <w:pStyle w:val="Styltabeli1A"/>
              <w:spacing w:line="276" w:lineRule="auto"/>
            </w:pPr>
            <w:r>
              <w:t>podest sceniczny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5" w:rsidRDefault="00CF03E5">
            <w:pPr>
              <w:pStyle w:val="Styltabeli2A"/>
              <w:spacing w:line="276" w:lineRule="auto"/>
              <w:jc w:val="center"/>
            </w:pPr>
            <w:r>
              <w:t>Podest sceniczny modułowy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5" w:rsidRDefault="00CF03E5">
            <w:pPr>
              <w:pStyle w:val="Styltabeli2A"/>
              <w:spacing w:line="276" w:lineRule="auto"/>
              <w:jc w:val="center"/>
            </w:pPr>
            <w:r>
              <w:t>28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7B5" w:rsidRDefault="00CF03E5">
            <w:pPr>
              <w:pStyle w:val="Styltabeli2A"/>
              <w:spacing w:line="276" w:lineRule="auto"/>
            </w:pPr>
            <w:r>
              <w:t>Wymiary 2 x 1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 xml:space="preserve">Konstrukcja: </w:t>
            </w:r>
            <w:r>
              <w:t>systemowy profil aluminiowy o wysokości minimalnej 90mm maks. 120mm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Płyta nośna: antypoślizgowa sklejka wielowarstwowa o gruboś</w:t>
            </w:r>
            <w:r>
              <w:rPr>
                <w:lang w:val="it-IT"/>
              </w:rPr>
              <w:t xml:space="preserve">ci </w:t>
            </w:r>
            <w:r>
              <w:t>min 20mm maks. 25mm (kolor ciemny brąz lub czarny</w:t>
            </w:r>
            <w:r>
              <w:t>)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Cięż</w:t>
            </w:r>
            <w:r>
              <w:rPr>
                <w:lang w:val="nl-NL"/>
              </w:rPr>
              <w:t>ar w</w:t>
            </w:r>
            <w:r>
              <w:t>łasny maks. 50kg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Certyfikat TUV lub r</w:t>
            </w:r>
            <w:r>
              <w:rPr>
                <w:lang w:val="es-ES_tradnl"/>
              </w:rPr>
              <w:t>ó</w:t>
            </w:r>
            <w:r>
              <w:t>wnoważny potwierdzający stateczność kons</w:t>
            </w:r>
            <w:r>
              <w:t>trukcji i nośność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Nośność min. 250kg/m2</w:t>
            </w:r>
          </w:p>
          <w:p w:rsidR="00B077B5" w:rsidRDefault="00CF03E5">
            <w:pPr>
              <w:pStyle w:val="DomylneA"/>
              <w:spacing w:line="276" w:lineRule="auto"/>
            </w:pPr>
            <w:r>
              <w:rPr>
                <w:color w:val="474747"/>
                <w:sz w:val="20"/>
                <w:szCs w:val="20"/>
                <w:u w:color="474747"/>
              </w:rPr>
              <w:t>Gwarancja min. 2 lata</w:t>
            </w:r>
          </w:p>
        </w:tc>
      </w:tr>
      <w:tr w:rsidR="00B077B5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0"/>
          <w:jc w:val="center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7B5" w:rsidRDefault="00CF03E5">
            <w:pPr>
              <w:pStyle w:val="Styltabeli1A"/>
              <w:spacing w:line="276" w:lineRule="auto"/>
            </w:pPr>
            <w:r>
              <w:lastRenderedPageBreak/>
              <w:t>Stopy regulowane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5" w:rsidRDefault="00CF03E5">
            <w:pPr>
              <w:pStyle w:val="Styltabeli2A"/>
              <w:spacing w:line="276" w:lineRule="auto"/>
              <w:jc w:val="center"/>
            </w:pPr>
            <w:r>
              <w:t>Regulowane stopy do podest</w:t>
            </w:r>
            <w:r>
              <w:rPr>
                <w:lang w:val="es-ES_tradnl"/>
              </w:rPr>
              <w:t>ó</w:t>
            </w:r>
            <w:r>
              <w:t>w scenicznych zapewniających modułowe aranżowanie powierzchni scenicznej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5" w:rsidRDefault="00CF03E5">
            <w:pPr>
              <w:pStyle w:val="Styltabeli2A"/>
              <w:spacing w:line="276" w:lineRule="auto"/>
              <w:jc w:val="center"/>
            </w:pPr>
            <w:r>
              <w:t>1 komplet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7B5" w:rsidRDefault="00CF03E5">
            <w:pPr>
              <w:pStyle w:val="Styltabeli2A"/>
              <w:spacing w:line="276" w:lineRule="auto"/>
            </w:pPr>
            <w:r>
              <w:t>Parametry:</w:t>
            </w:r>
          </w:p>
          <w:p w:rsidR="00B077B5" w:rsidRDefault="00B077B5">
            <w:pPr>
              <w:pStyle w:val="Styltabeli2A"/>
              <w:spacing w:line="276" w:lineRule="auto"/>
            </w:pPr>
          </w:p>
          <w:p w:rsidR="00B077B5" w:rsidRDefault="00CF03E5">
            <w:pPr>
              <w:pStyle w:val="Styltabeli2A"/>
              <w:spacing w:line="276" w:lineRule="auto"/>
            </w:pPr>
            <w:r>
              <w:rPr>
                <w:lang w:val="it-IT"/>
              </w:rPr>
              <w:t>materia</w:t>
            </w:r>
            <w:r>
              <w:t>ł: aluminium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 xml:space="preserve">Regulacja wysokości nogi </w:t>
            </w:r>
            <w:r>
              <w:t>poprzez rozsuwanie z możliwością blokowania pozycji bez używania dodatkowych narzędzi - np. Wbudowany zacisk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Stopka zabezpieczająca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Lub inny r</w:t>
            </w:r>
            <w:r>
              <w:rPr>
                <w:lang w:val="es-ES_tradnl"/>
              </w:rPr>
              <w:t>ó</w:t>
            </w:r>
            <w:r>
              <w:t>wnoważny system regulacji wysokości</w:t>
            </w:r>
            <w:r>
              <w:rPr>
                <w:lang w:val="it-IT"/>
              </w:rPr>
              <w:t xml:space="preserve">ci </w:t>
            </w:r>
          </w:p>
          <w:p w:rsidR="00B077B5" w:rsidRDefault="00B077B5">
            <w:pPr>
              <w:pStyle w:val="Styltabeli2A"/>
              <w:spacing w:line="276" w:lineRule="auto"/>
            </w:pPr>
          </w:p>
          <w:p w:rsidR="00B077B5" w:rsidRDefault="00CF03E5">
            <w:pPr>
              <w:pStyle w:val="Styltabeli2A"/>
              <w:spacing w:line="276" w:lineRule="auto"/>
            </w:pPr>
            <w:r>
              <w:t xml:space="preserve">W skład kompletu wchodzą stopy w ilościach podanych poniżej: (1 zestaw = </w:t>
            </w:r>
            <w:r>
              <w:t xml:space="preserve">4 sztuki) </w:t>
            </w:r>
          </w:p>
          <w:p w:rsidR="00B077B5" w:rsidRDefault="00B077B5">
            <w:pPr>
              <w:pStyle w:val="Styltabeli2A"/>
              <w:spacing w:line="276" w:lineRule="auto"/>
            </w:pPr>
          </w:p>
          <w:p w:rsidR="00B077B5" w:rsidRDefault="00CF03E5">
            <w:pPr>
              <w:pStyle w:val="Styltabeli2A"/>
              <w:spacing w:line="276" w:lineRule="auto"/>
            </w:pPr>
            <w:r>
              <w:t xml:space="preserve"> w zakresie 40-60 cm: 28 zestawów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w zakresie 60-100 cm: 28 zestaw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>w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w zakresie 100-180 cm: 28 zestawów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w zakresie 120-180 cm: 18 zestaw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>w</w:t>
            </w:r>
          </w:p>
          <w:p w:rsidR="00B077B5" w:rsidRDefault="00B077B5">
            <w:pPr>
              <w:pStyle w:val="Styltabeli2A"/>
              <w:spacing w:line="276" w:lineRule="auto"/>
            </w:pPr>
          </w:p>
          <w:p w:rsidR="00B077B5" w:rsidRDefault="00CF03E5">
            <w:pPr>
              <w:pStyle w:val="DomylneA"/>
              <w:spacing w:line="276" w:lineRule="auto"/>
            </w:pPr>
            <w:r>
              <w:rPr>
                <w:color w:val="474747"/>
                <w:sz w:val="20"/>
                <w:szCs w:val="20"/>
                <w:u w:color="474747"/>
              </w:rPr>
              <w:t>Gwarancja min. 2 lata</w:t>
            </w:r>
          </w:p>
        </w:tc>
      </w:tr>
      <w:tr w:rsidR="00B077B5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/>
          <w:jc w:val="center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7B5" w:rsidRDefault="00CF03E5">
            <w:pPr>
              <w:pStyle w:val="Styltabeli1A"/>
              <w:spacing w:line="276" w:lineRule="auto"/>
            </w:pPr>
            <w:r>
              <w:t>Płyty sceniczne do podest</w:t>
            </w:r>
            <w:r>
              <w:rPr>
                <w:lang w:val="es-ES_tradnl"/>
              </w:rPr>
              <w:t>ó</w:t>
            </w:r>
            <w:r>
              <w:t>w i podłóg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5" w:rsidRDefault="00CF03E5">
            <w:pPr>
              <w:pStyle w:val="Styltabeli2A"/>
              <w:spacing w:line="276" w:lineRule="auto"/>
              <w:jc w:val="center"/>
            </w:pPr>
            <w:r>
              <w:t>Antypoślizgowe płyty sceniczne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5" w:rsidRDefault="00CF03E5">
            <w:pPr>
              <w:pStyle w:val="Styltabeli2A"/>
              <w:spacing w:line="276" w:lineRule="auto"/>
              <w:jc w:val="center"/>
            </w:pPr>
            <w:r>
              <w:t>45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7B5" w:rsidRDefault="00CF03E5">
            <w:pPr>
              <w:pStyle w:val="Styltabeli2A"/>
              <w:spacing w:line="276" w:lineRule="auto"/>
            </w:pPr>
            <w:r>
              <w:t xml:space="preserve">Płyta </w:t>
            </w:r>
            <w:r>
              <w:t xml:space="preserve">wykonana z wielowarstwowej sklejki o grubości  25 mm. </w:t>
            </w:r>
          </w:p>
          <w:p w:rsidR="00B077B5" w:rsidRDefault="00CF03E5">
            <w:pPr>
              <w:pStyle w:val="Styltabeli2A"/>
              <w:spacing w:line="276" w:lineRule="auto"/>
            </w:pPr>
            <w:r>
              <w:t>Kolor: ciemny brąz lub czarny</w:t>
            </w:r>
          </w:p>
          <w:p w:rsidR="00B077B5" w:rsidRDefault="00B077B5">
            <w:pPr>
              <w:pStyle w:val="Styltabeli2A"/>
              <w:spacing w:line="276" w:lineRule="auto"/>
            </w:pPr>
          </w:p>
          <w:p w:rsidR="00B077B5" w:rsidRDefault="00CF03E5">
            <w:pPr>
              <w:pStyle w:val="Styltabeli2A"/>
              <w:spacing w:line="276" w:lineRule="auto"/>
            </w:pPr>
            <w:r>
              <w:t>Wymiary dł. x szer. x grubość:  20000x1000x25mm</w:t>
            </w:r>
          </w:p>
        </w:tc>
      </w:tr>
    </w:tbl>
    <w:p w:rsidR="00B077B5" w:rsidRDefault="00B077B5">
      <w:pPr>
        <w:pStyle w:val="Styltabeli2A"/>
        <w:widowControl w:val="0"/>
        <w:ind w:left="108" w:hanging="108"/>
        <w:jc w:val="center"/>
        <w:rPr>
          <w:b/>
          <w:bCs/>
        </w:rPr>
      </w:pPr>
    </w:p>
    <w:p w:rsidR="00B077B5" w:rsidRDefault="00B077B5">
      <w:pPr>
        <w:pStyle w:val="Styltabeli2A"/>
        <w:widowControl w:val="0"/>
        <w:jc w:val="center"/>
        <w:rPr>
          <w:b/>
          <w:bCs/>
        </w:rPr>
      </w:pPr>
    </w:p>
    <w:p w:rsidR="00B077B5" w:rsidRDefault="00B077B5">
      <w:pPr>
        <w:pStyle w:val="Styltabeli2A"/>
        <w:widowControl w:val="0"/>
        <w:spacing w:line="276" w:lineRule="auto"/>
        <w:jc w:val="center"/>
        <w:rPr>
          <w:b/>
          <w:bCs/>
        </w:rPr>
      </w:pPr>
    </w:p>
    <w:p w:rsidR="00B077B5" w:rsidRDefault="00B077B5">
      <w:pPr>
        <w:pStyle w:val="Styltabeli2A"/>
        <w:spacing w:line="276" w:lineRule="auto"/>
        <w:jc w:val="center"/>
        <w:rPr>
          <w:b/>
          <w:bCs/>
        </w:rPr>
      </w:pPr>
    </w:p>
    <w:p w:rsidR="00B077B5" w:rsidRDefault="00B077B5">
      <w:pPr>
        <w:pStyle w:val="Styltabeli2A"/>
        <w:spacing w:line="276" w:lineRule="auto"/>
        <w:jc w:val="both"/>
      </w:pPr>
    </w:p>
    <w:p w:rsidR="00B077B5" w:rsidRDefault="00CF03E5">
      <w:pPr>
        <w:pStyle w:val="Styltabeli2A"/>
        <w:spacing w:line="276" w:lineRule="auto"/>
        <w:jc w:val="both"/>
      </w:pPr>
      <w:r>
        <w:t xml:space="preserve">Zamawiający informuje, iż w ramach dostarczenia dokumentacji oraz wymagań certyfikacyjnych dopuszcza </w:t>
      </w:r>
      <w:r>
        <w:t>przedstawienie następujących dokument</w:t>
      </w:r>
      <w:r>
        <w:rPr>
          <w:lang w:val="es-ES_tradnl"/>
        </w:rPr>
        <w:t>ó</w:t>
      </w:r>
      <w:r>
        <w:t>w jako r</w:t>
      </w:r>
      <w:r>
        <w:rPr>
          <w:lang w:val="es-ES_tradnl"/>
        </w:rPr>
        <w:t>ó</w:t>
      </w:r>
      <w:r>
        <w:t xml:space="preserve">wnoważnych do wskazanych w OPZ rozwiązań: </w:t>
      </w:r>
    </w:p>
    <w:p w:rsidR="00B077B5" w:rsidRDefault="00CF03E5">
      <w:pPr>
        <w:pStyle w:val="Styltabeli2A"/>
        <w:spacing w:line="276" w:lineRule="auto"/>
        <w:jc w:val="both"/>
      </w:pPr>
      <w:r>
        <w:rPr>
          <w:b/>
          <w:bCs/>
        </w:rPr>
        <w:t>DIN 1090 CE 1,2,3</w:t>
      </w:r>
      <w:r>
        <w:t xml:space="preserve"> – świadectwo zgodności zakładowego sytemu kontroli produkcji nadane przez  T</w:t>
      </w:r>
      <w:r>
        <w:rPr>
          <w:lang w:val="de-DE"/>
        </w:rPr>
        <w:t>Ü</w:t>
      </w:r>
      <w:r>
        <w:t>V NORD Systems GmbH &amp; Co KG. Wykonywanie element</w:t>
      </w:r>
      <w:r>
        <w:rPr>
          <w:lang w:val="es-ES_tradnl"/>
        </w:rPr>
        <w:t>ó</w:t>
      </w:r>
      <w:r>
        <w:t>w konstrukcyjnych i ze</w:t>
      </w:r>
      <w:r>
        <w:t>staw</w:t>
      </w:r>
      <w:r>
        <w:rPr>
          <w:lang w:val="es-ES_tradnl"/>
        </w:rPr>
        <w:t>ó</w:t>
      </w:r>
      <w:r>
        <w:t>w do konstrukcji aluminiowych oraz stalowych:</w:t>
      </w:r>
    </w:p>
    <w:p w:rsidR="00B077B5" w:rsidRDefault="00CF03E5">
      <w:pPr>
        <w:pStyle w:val="Styltabeli2A"/>
        <w:spacing w:line="276" w:lineRule="auto"/>
        <w:jc w:val="both"/>
      </w:pPr>
      <w:r>
        <w:t xml:space="preserve">Wymogi dotyczące oceny i weryfikacji stałości właściwości użytkowych konstrukcji aluminiowych. DIN 1090 uprawnia nas do nadawania znaku CE produktom. Znak CE umieszczony na wyrobie jest deklaracją, że </w:t>
      </w:r>
      <w:r>
        <w:t>oznakowany produkt spełnia wymagania dyrektyw Unii Europejskiej. Dyrektywy te dotyczą zagadnień związanych z bezpieczeństwem użytkowania. Producent oznaczając sw</w:t>
      </w:r>
      <w:r>
        <w:rPr>
          <w:lang w:val="es-ES_tradnl"/>
        </w:rPr>
        <w:t>ó</w:t>
      </w:r>
      <w:r>
        <w:t>j wyr</w:t>
      </w:r>
      <w:r>
        <w:rPr>
          <w:lang w:val="es-ES_tradnl"/>
        </w:rPr>
        <w:t>ó</w:t>
      </w:r>
      <w:r>
        <w:t xml:space="preserve">b znakiem CE deklaruje, że produkt spełnia wymagania wszystkich odnoszących się do nich </w:t>
      </w:r>
      <w:r>
        <w:t>dyrektyw. Oznakowanie CE  jest deklaracją zgodności. Deklaracja zgodności daje pewność klientowi, że towar jest bezpieczny.</w:t>
      </w:r>
    </w:p>
    <w:p w:rsidR="00B077B5" w:rsidRDefault="00CF03E5">
      <w:pPr>
        <w:pStyle w:val="Styltabeli2A"/>
        <w:spacing w:line="276" w:lineRule="auto"/>
        <w:jc w:val="both"/>
      </w:pPr>
      <w:r>
        <w:rPr>
          <w:b/>
          <w:bCs/>
          <w:lang w:val="de-DE"/>
        </w:rPr>
        <w:t>DIN EN ISO 3834-2</w:t>
      </w:r>
      <w:r>
        <w:t xml:space="preserve"> - certyfikat nadany przez T</w:t>
      </w:r>
      <w:r>
        <w:rPr>
          <w:lang w:val="de-DE"/>
        </w:rPr>
        <w:t>ÜV NORD Systems GmbH &amp; Co KG. Wymagania jako</w:t>
      </w:r>
      <w:r>
        <w:t>ści dotyczące spawania materiałów metalowyc</w:t>
      </w:r>
      <w:r>
        <w:t>h; Pełne wymagania jakości /Specjalistyczny system zarządzania jakością w spawalnictwie/. Zakres stosowania: obiekty widowiskowe (konstrukcje aluminiowe, stojaki na urządzenia, ruchome podesty).</w:t>
      </w:r>
    </w:p>
    <w:p w:rsidR="00B077B5" w:rsidRDefault="00CF03E5">
      <w:pPr>
        <w:pStyle w:val="Styltabeli2A"/>
        <w:spacing w:line="276" w:lineRule="auto"/>
        <w:jc w:val="both"/>
      </w:pPr>
      <w:bookmarkStart w:id="0" w:name="_GoBack"/>
      <w:bookmarkEnd w:id="0"/>
      <w:r>
        <w:rPr>
          <w:b/>
          <w:bCs/>
          <w:lang w:val="de-DE"/>
        </w:rPr>
        <w:t>DIN 4112</w:t>
      </w:r>
      <w:r>
        <w:t xml:space="preserve"> - Obiekty nadziemne z obciążeniem dynamicznym (urzą</w:t>
      </w:r>
      <w:r>
        <w:t>dzenia parku rozrywki).</w:t>
      </w:r>
    </w:p>
    <w:p w:rsidR="00B077B5" w:rsidRDefault="00CF03E5">
      <w:pPr>
        <w:pStyle w:val="Styltabeli2A"/>
        <w:spacing w:line="276" w:lineRule="auto"/>
        <w:jc w:val="both"/>
      </w:pPr>
      <w:r>
        <w:rPr>
          <w:b/>
          <w:bCs/>
          <w:lang w:val="de-DE"/>
        </w:rPr>
        <w:t>DIN V 4113-3</w:t>
      </w:r>
      <w:r>
        <w:t xml:space="preserve"> - Uprawnienia do spawania konstrukcji aluminiowych.- </w:t>
      </w:r>
    </w:p>
    <w:p w:rsidR="00B077B5" w:rsidRDefault="00CF03E5">
      <w:pPr>
        <w:pStyle w:val="Styltabeli2A"/>
        <w:spacing w:line="276" w:lineRule="auto"/>
        <w:jc w:val="both"/>
      </w:pPr>
      <w:r>
        <w:rPr>
          <w:b/>
          <w:bCs/>
        </w:rPr>
        <w:t>Świadectwo Kwalifikacyjne nr 81/459/V/2009</w:t>
      </w:r>
      <w:r>
        <w:t xml:space="preserve"> - kwalifikują</w:t>
      </w:r>
      <w:r>
        <w:rPr>
          <w:lang w:val="en-US"/>
        </w:rPr>
        <w:t>ce firm</w:t>
      </w:r>
      <w:r>
        <w:t>ę do I Grupy Zakład</w:t>
      </w:r>
      <w:r>
        <w:rPr>
          <w:lang w:val="es-ES_tradnl"/>
        </w:rPr>
        <w:t>ó</w:t>
      </w:r>
      <w:r>
        <w:t>w Małych uprawniające do prowadzenia prac spawalniczych w zakresie wykonawstwa, mo</w:t>
      </w:r>
      <w:r>
        <w:t>ntażu i remont</w:t>
      </w:r>
      <w:r>
        <w:rPr>
          <w:lang w:val="es-ES_tradnl"/>
        </w:rPr>
        <w:t>ó</w:t>
      </w:r>
      <w:r>
        <w:t xml:space="preserve">w spawanych konstrukcji stalowych klasy 1, 2 i 3 zgodnie z normą PN-M-69008 oraz stalowych konstrukcji budowlanych z uwzględnieniem wymagań normy PN-B-06200, wykonywanych ze stali konstrukcyjnych niestopowych, stali nisko i wysokostopowych, </w:t>
      </w:r>
      <w:r>
        <w:t>aluminium i jego stop</w:t>
      </w:r>
      <w:r>
        <w:rPr>
          <w:lang w:val="es-ES_tradnl"/>
        </w:rPr>
        <w:t>ó</w:t>
      </w:r>
      <w:r>
        <w:t>w, następującymi metodami spawania: łukowego w osłonie gaz</w:t>
      </w:r>
      <w:r>
        <w:rPr>
          <w:lang w:val="es-ES_tradnl"/>
        </w:rPr>
        <w:t>ó</w:t>
      </w:r>
      <w:r>
        <w:rPr>
          <w:lang w:val="nl-NL"/>
        </w:rPr>
        <w:t>w metod</w:t>
      </w:r>
      <w:r>
        <w:t>ą MIG (131), MAG (135) oraz TIG (141).</w:t>
      </w:r>
    </w:p>
    <w:p w:rsidR="00B077B5" w:rsidRDefault="00CF03E5">
      <w:pPr>
        <w:pStyle w:val="Styltabeli2A"/>
        <w:spacing w:line="276" w:lineRule="auto"/>
        <w:jc w:val="both"/>
      </w:pPr>
      <w:r>
        <w:t>Obliczenia statyczne (wytrzymałościowe) kratownic – wykonane zgodnie z normą DIN 4113-1, DIN 4113-2, Obliczenia statyczne (wytrzy</w:t>
      </w:r>
      <w:r>
        <w:t>małościowe) podest</w:t>
      </w:r>
      <w:r>
        <w:rPr>
          <w:lang w:val="es-ES_tradnl"/>
        </w:rPr>
        <w:t>ó</w:t>
      </w:r>
      <w:r>
        <w:t>w scenicznych – wykonane zgodnie z normą DIN 4113-1, DIN 41133-2, DIN-18800-1 oraz DIN EN 13782.  Certyfikat TUV na podesty sceniczne.</w:t>
      </w:r>
    </w:p>
    <w:p w:rsidR="00B077B5" w:rsidRDefault="00B077B5">
      <w:pPr>
        <w:pStyle w:val="Styltabeli2A"/>
        <w:spacing w:line="276" w:lineRule="auto"/>
      </w:pPr>
    </w:p>
    <w:p w:rsidR="00B077B5" w:rsidRDefault="00B077B5">
      <w:pPr>
        <w:pStyle w:val="Styltabeli2A"/>
        <w:spacing w:line="276" w:lineRule="auto"/>
      </w:pPr>
    </w:p>
    <w:p w:rsidR="00B077B5" w:rsidRDefault="00B077B5">
      <w:pPr>
        <w:pStyle w:val="Styltabeli2A"/>
        <w:spacing w:line="276" w:lineRule="auto"/>
      </w:pPr>
    </w:p>
    <w:sectPr w:rsidR="00B077B5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03E5">
      <w:r>
        <w:separator/>
      </w:r>
    </w:p>
  </w:endnote>
  <w:endnote w:type="continuationSeparator" w:id="0">
    <w:p w:rsidR="00000000" w:rsidRDefault="00CF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03E5">
      <w:r>
        <w:separator/>
      </w:r>
    </w:p>
  </w:footnote>
  <w:footnote w:type="continuationSeparator" w:id="0">
    <w:p w:rsidR="00000000" w:rsidRDefault="00CF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B5" w:rsidRDefault="00CF03E5" w:rsidP="00CF03E5">
    <w:pPr>
      <w:pStyle w:val="NagwekistopkaA"/>
      <w:jc w:val="center"/>
    </w:pPr>
    <w:r>
      <w:rPr>
        <w:noProof/>
      </w:rPr>
      <w:drawing>
        <wp:inline distT="0" distB="0" distL="0" distR="0">
          <wp:extent cx="4667250" cy="762000"/>
          <wp:effectExtent l="0" t="0" r="0" b="0"/>
          <wp:docPr id="1073741825" name="officeArt object" descr="logo_UMWD_MKI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UMWD_MKIND.jpg" descr="logo_UMWD_MKIN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0" cy="76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B5"/>
    <w:rsid w:val="00B077B5"/>
    <w:rsid w:val="00C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44CC"/>
  <w15:docId w15:val="{B66F2728-C2D4-4B6D-A429-3806B52A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A">
    <w:name w:val="Styl tabeli 2 A"/>
    <w:rPr>
      <w:rFonts w:ascii="Arial" w:hAnsi="Arial" w:cs="Arial Unicode MS"/>
      <w:color w:val="000000"/>
      <w:u w:color="000000"/>
    </w:rPr>
  </w:style>
  <w:style w:type="paragraph" w:customStyle="1" w:styleId="Styltabeli1A">
    <w:name w:val="Styl tabeli 1 A"/>
    <w:rPr>
      <w:rFonts w:ascii="Arial" w:hAnsi="Arial" w:cs="Arial Unicode MS"/>
      <w:b/>
      <w:bCs/>
      <w:color w:val="000000"/>
      <w:u w:color="000000"/>
    </w:rPr>
  </w:style>
  <w:style w:type="paragraph" w:customStyle="1" w:styleId="DomylneA">
    <w:name w:val="Domyślne A"/>
    <w:rPr>
      <w:rFonts w:ascii="Arial" w:hAnsi="Arial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CF0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3E5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CF0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3E5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Cieciora</cp:lastModifiedBy>
  <cp:revision>2</cp:revision>
  <dcterms:created xsi:type="dcterms:W3CDTF">2019-09-09T07:37:00Z</dcterms:created>
  <dcterms:modified xsi:type="dcterms:W3CDTF">2019-09-09T07:42:00Z</dcterms:modified>
</cp:coreProperties>
</file>